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3"/>
        <w:gridCol w:w="1939"/>
        <w:gridCol w:w="1159"/>
        <w:gridCol w:w="2021"/>
        <w:gridCol w:w="1236"/>
        <w:tblGridChange w:id="0">
          <w:tblGrid>
            <w:gridCol w:w="3113"/>
            <w:gridCol w:w="1939"/>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Новинарство</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Специјализовано медијско извештавање</w:t>
            </w:r>
            <w:r w:rsidDel="00000000" w:rsidR="00000000" w:rsidRPr="00000000">
              <w:rPr>
                <w:rFonts w:ascii="Times New Roman" w:cs="Times New Roman" w:eastAsia="Times New Roman" w:hAnsi="Times New Roman"/>
                <w:sz w:val="24"/>
                <w:szCs w:val="24"/>
                <w:vertAlign w:val="baseline"/>
                <w:rtl w:val="0"/>
              </w:rPr>
              <w:t xml:space="preserve"> </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Александра Крстић, доц. др Милица Кулић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Главни циљ предмета је да пружи теоријска и практична знања о новинарској и аналитичкој специјализацији извештавања о релевантним друштвено-политичким питањима и темама: међународним институцијама и организацијама, заштити животне средине, друштвеним кризама и конфликтима у свету и у Србији, економији, јавним личностима, популаризацији науке итд. Циљ предмета је да унапреди знања и новинарски приступ приликом извештавања о посебним секторима: од проналаска теме, препознавања дискурса, позиције новинара, до вокабулара. Истовремено, циљ курса је да оснажи аналитички приступ истраживача на постдипломским студијама, који за предмет истраживачког рада имају анализу медијског извештавања из неких од наведених области.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Учествујући у настави на предмету</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Специјализовано медијско извештавање студенти савладавају теоријске и практичне претпоставке новинарства које се бави извештавањем о темама из датих сектора. Студенти треба да постану квалификовани за праћење и анализу датих области, и као репортери и као медијски истраживачи. </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Теоријска настава ће бити усмерена на анализу новинарских приступа одређеној тематској области, али и на увид у главне теоријске концепте о медијској репрезентацији наведених тема. Осим поимања</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секторског новинарства и карактеристика специјализованог извештавања (beat reporting), дискутоваће се и о особеностима сваког појединачног сектора и нужним компетенцијама које извештач мора да поседује. Такав приступ односиће се на теме из области: међународне политике, екологије, економије, јавних личности (celebrities), тако и из области најразличитијих друштвених конфликата који најчешће захтевају интердисциплинарни приступ. Поред овога, студентима ће бити омогућено да стекну дубљи увид у методолошки оквир на основу кога ће моћи да спроведу квантитативну и квалитативну анализу одабраног медијског садржаја из неке од наведених тематских области и на тај начин унапреде своја истраживачка знања.</w:t>
            </w:r>
          </w:p>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 току курса студенти ће имати прилику да анализирају најактуелније примере из домаће, регионалне и иностране праксе, што ће резултирати аналитичким радом из ове области. Студенти ће имати прилику да разговарају директно са еспертима за дату област који ће гостовати на предавањима у складу са темама, областима и интересовањима студената. По потреби, биће организоване студијске посете институцијама, организацијама и медијским кућама. </w:t>
            </w:r>
          </w:p>
        </w:tc>
      </w:tr>
      <w:tr>
        <w:trPr>
          <w:trHeight w:val="227" w:hRule="atLeast"/>
        </w:trPr>
        <w:tc>
          <w:tcPr>
            <w:gridSpan w:val="5"/>
            <w:vAlign w:val="center"/>
          </w:tcPr>
          <w:p w:rsidR="00000000" w:rsidDel="00000000" w:rsidP="00000000" w:rsidRDefault="00000000" w:rsidRPr="00000000" w14:paraId="0000003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Krstić, Aleksandra (2019). Izveštavanje o sukobima u demokratizaciji: etičke dileme i izazovi iz ugla novinara u Srbiji. U: D. Pavlović (ur.), </w:t>
            </w:r>
            <w:r w:rsidDel="00000000" w:rsidR="00000000" w:rsidRPr="00000000">
              <w:rPr>
                <w:rFonts w:ascii="Times New Roman" w:cs="Times New Roman" w:eastAsia="Times New Roman" w:hAnsi="Times New Roman"/>
                <w:i w:val="1"/>
                <w:sz w:val="20"/>
                <w:szCs w:val="20"/>
                <w:vertAlign w:val="baseline"/>
                <w:rtl w:val="0"/>
              </w:rPr>
              <w:t xml:space="preserve">Sukobi. Stabilnost. Demokratija?, </w:t>
            </w:r>
            <w:r w:rsidDel="00000000" w:rsidR="00000000" w:rsidRPr="00000000">
              <w:rPr>
                <w:rFonts w:ascii="Times New Roman" w:cs="Times New Roman" w:eastAsia="Times New Roman" w:hAnsi="Times New Roman"/>
                <w:sz w:val="20"/>
                <w:szCs w:val="20"/>
                <w:vertAlign w:val="baseline"/>
                <w:rtl w:val="0"/>
              </w:rPr>
              <w:t xml:space="preserve">Zbornik radova sa redovne međunarodne konferencije Udruženja za političke nauke Srbije održane 27–28.09.2019. u Beogradu (str. 37-56). Beograd: Udruženje za političke nauke Srbije i Fakultet političkih nauka; </w:t>
            </w:r>
            <w:r w:rsidDel="00000000" w:rsidR="00000000" w:rsidRPr="00000000">
              <w:rPr>
                <w:rFonts w:ascii="Times New Roman" w:cs="Times New Roman" w:eastAsia="Times New Roman" w:hAnsi="Times New Roman"/>
                <w:sz w:val="20"/>
                <w:szCs w:val="20"/>
                <w:highlight w:val="white"/>
                <w:vertAlign w:val="baseline"/>
                <w:rtl w:val="0"/>
              </w:rPr>
              <w:t xml:space="preserve">Krstić, Aleksandra (2019). Profesionalni i etički izazovi novinarskog izveštavanja o procesu normalizacije odnosa Beograda i Prištine. U: Stefan Surlić i Aleksandra Popović (ur.) </w:t>
            </w:r>
            <w:r w:rsidDel="00000000" w:rsidR="00000000" w:rsidRPr="00000000">
              <w:rPr>
                <w:rFonts w:ascii="Times New Roman" w:cs="Times New Roman" w:eastAsia="Times New Roman" w:hAnsi="Times New Roman"/>
                <w:i w:val="1"/>
                <w:sz w:val="20"/>
                <w:szCs w:val="20"/>
                <w:highlight w:val="white"/>
                <w:vertAlign w:val="baseline"/>
                <w:rtl w:val="0"/>
              </w:rPr>
              <w:t xml:space="preserve">Realizacija normalizacije – Budućnost odnosa Beograda i Prištine</w:t>
            </w:r>
            <w:r w:rsidDel="00000000" w:rsidR="00000000" w:rsidRPr="00000000">
              <w:rPr>
                <w:rFonts w:ascii="Times New Roman" w:cs="Times New Roman" w:eastAsia="Times New Roman" w:hAnsi="Times New Roman"/>
                <w:sz w:val="20"/>
                <w:szCs w:val="20"/>
                <w:highlight w:val="white"/>
                <w:vertAlign w:val="baseline"/>
                <w:rtl w:val="0"/>
              </w:rPr>
              <w:t xml:space="preserve"> (str. 9-24). Beograd: Konrad Adenauer Stiftung i CISBalk; </w:t>
            </w:r>
            <w:r w:rsidDel="00000000" w:rsidR="00000000" w:rsidRPr="00000000">
              <w:rPr>
                <w:rFonts w:ascii="Times New Roman" w:cs="Times New Roman" w:eastAsia="Times New Roman" w:hAnsi="Times New Roman"/>
                <w:sz w:val="20"/>
                <w:szCs w:val="20"/>
                <w:vertAlign w:val="baseline"/>
                <w:rtl w:val="0"/>
              </w:rPr>
              <w:t xml:space="preserve">Vladisavljević, Nebojša, Krstić, Aleksandra &amp; Pavlović, Jovica (2019). Communicating power  and resistance in democratic decline: the 2015 smear campaign against Serbia’s ombudsman. In: Katrin Voltmer, Christian Christensen, Irene Neverla, Nicole Stremlau, Barbara Thomass, Nebojša Vladisavljević and Herman Wasserman (eds.) </w:t>
            </w:r>
            <w:r w:rsidDel="00000000" w:rsidR="00000000" w:rsidRPr="00000000">
              <w:rPr>
                <w:rFonts w:ascii="Times New Roman" w:cs="Times New Roman" w:eastAsia="Times New Roman" w:hAnsi="Times New Roman"/>
                <w:i w:val="1"/>
                <w:sz w:val="20"/>
                <w:szCs w:val="20"/>
                <w:vertAlign w:val="baseline"/>
                <w:rtl w:val="0"/>
              </w:rPr>
              <w:t xml:space="preserve">Media, communication and the struggle for democratic change: case studies on contested transitions </w:t>
            </w:r>
            <w:r w:rsidDel="00000000" w:rsidR="00000000" w:rsidRPr="00000000">
              <w:rPr>
                <w:rFonts w:ascii="Times New Roman" w:cs="Times New Roman" w:eastAsia="Times New Roman" w:hAnsi="Times New Roman"/>
                <w:sz w:val="20"/>
                <w:szCs w:val="20"/>
                <w:vertAlign w:val="baseline"/>
                <w:rtl w:val="0"/>
              </w:rPr>
              <w:t xml:space="preserve">(pp. 205-228). Basingstoke: Palgrave Macmillan. ISBN 978-3-030-16747-9; Magin, Melanie &amp; Peter Maurer (2019). </w:t>
            </w:r>
            <w:r w:rsidDel="00000000" w:rsidR="00000000" w:rsidRPr="00000000">
              <w:rPr>
                <w:rFonts w:ascii="Times New Roman" w:cs="Times New Roman" w:eastAsia="Times New Roman" w:hAnsi="Times New Roman"/>
                <w:i w:val="1"/>
                <w:sz w:val="20"/>
                <w:szCs w:val="20"/>
                <w:vertAlign w:val="baseline"/>
                <w:rtl w:val="0"/>
              </w:rPr>
              <w:t xml:space="preserve">Beat journalism and reporting</w:t>
            </w:r>
            <w:r w:rsidDel="00000000" w:rsidR="00000000" w:rsidRPr="00000000">
              <w:rPr>
                <w:rFonts w:ascii="Times New Roman" w:cs="Times New Roman" w:eastAsia="Times New Roman" w:hAnsi="Times New Roman"/>
                <w:sz w:val="20"/>
                <w:szCs w:val="20"/>
                <w:vertAlign w:val="baseline"/>
                <w:rtl w:val="0"/>
              </w:rPr>
              <w:t xml:space="preserve">. Oxford: OUP. Cottle, Simon. 2006.  </w:t>
            </w:r>
            <w:r w:rsidDel="00000000" w:rsidR="00000000" w:rsidRPr="00000000">
              <w:rPr>
                <w:rFonts w:ascii="Times New Roman" w:cs="Times New Roman" w:eastAsia="Times New Roman" w:hAnsi="Times New Roman"/>
                <w:i w:val="1"/>
                <w:sz w:val="20"/>
                <w:szCs w:val="20"/>
                <w:vertAlign w:val="baseline"/>
                <w:rtl w:val="0"/>
              </w:rPr>
              <w:t xml:space="preserve">Mediatized conflict. Developments in media and conflict studies. </w:t>
            </w:r>
            <w:r w:rsidDel="00000000" w:rsidR="00000000" w:rsidRPr="00000000">
              <w:rPr>
                <w:rFonts w:ascii="Times New Roman" w:cs="Times New Roman" w:eastAsia="Times New Roman" w:hAnsi="Times New Roman"/>
                <w:sz w:val="20"/>
                <w:szCs w:val="20"/>
                <w:vertAlign w:val="baseline"/>
                <w:rtl w:val="0"/>
              </w:rPr>
              <w:t xml:space="preserve">Maidenhead, Berkshire, England, New York: Open University Press; Cottle, Simon. 2008. “Reporting Demonstrations: The Changing Media Politics of Dissent”. </w:t>
            </w:r>
            <w:r w:rsidDel="00000000" w:rsidR="00000000" w:rsidRPr="00000000">
              <w:rPr>
                <w:rFonts w:ascii="Times New Roman" w:cs="Times New Roman" w:eastAsia="Times New Roman" w:hAnsi="Times New Roman"/>
                <w:i w:val="1"/>
                <w:sz w:val="20"/>
                <w:szCs w:val="20"/>
                <w:vertAlign w:val="baseline"/>
                <w:rtl w:val="0"/>
              </w:rPr>
              <w:t xml:space="preserve">Media, Culture, Society</w:t>
            </w:r>
            <w:r w:rsidDel="00000000" w:rsidR="00000000" w:rsidRPr="00000000">
              <w:rPr>
                <w:rFonts w:ascii="Times New Roman" w:cs="Times New Roman" w:eastAsia="Times New Roman" w:hAnsi="Times New Roman"/>
                <w:sz w:val="20"/>
                <w:szCs w:val="20"/>
                <w:vertAlign w:val="baseline"/>
                <w:rtl w:val="0"/>
              </w:rPr>
              <w:t xml:space="preserve">, 30(6): 853–872;</w:t>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Шира литература:</w:t>
            </w:r>
          </w:p>
          <w:p w:rsidR="00000000" w:rsidDel="00000000" w:rsidP="00000000" w:rsidRDefault="00000000" w:rsidRPr="00000000" w14:paraId="00000038">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Gamson, J. (1994). </w:t>
            </w:r>
            <w:r w:rsidDel="00000000" w:rsidR="00000000" w:rsidRPr="00000000">
              <w:rPr>
                <w:rFonts w:ascii="Times New Roman" w:cs="Times New Roman" w:eastAsia="Times New Roman" w:hAnsi="Times New Roman"/>
                <w:i w:val="1"/>
                <w:sz w:val="20"/>
                <w:szCs w:val="20"/>
                <w:vertAlign w:val="baseline"/>
                <w:rtl w:val="0"/>
              </w:rPr>
              <w:t xml:space="preserve">Claims to Fame. Celebrity in Contemporary America</w:t>
            </w:r>
            <w:r w:rsidDel="00000000" w:rsidR="00000000" w:rsidRPr="00000000">
              <w:rPr>
                <w:rFonts w:ascii="Times New Roman" w:cs="Times New Roman" w:eastAsia="Times New Roman" w:hAnsi="Times New Roman"/>
                <w:sz w:val="20"/>
                <w:szCs w:val="20"/>
                <w:vertAlign w:val="baseline"/>
                <w:rtl w:val="0"/>
              </w:rPr>
              <w:t xml:space="preserve">. Berkeley, Los Angeles &amp; London: University of California Press; Jerslev, A. (2014). Celebrification, Authenticity, Gossip – the Celebrity Humanitarian. </w:t>
            </w:r>
            <w:r w:rsidDel="00000000" w:rsidR="00000000" w:rsidRPr="00000000">
              <w:rPr>
                <w:rFonts w:ascii="Times New Roman" w:cs="Times New Roman" w:eastAsia="Times New Roman" w:hAnsi="Times New Roman"/>
                <w:i w:val="1"/>
                <w:sz w:val="20"/>
                <w:szCs w:val="20"/>
                <w:vertAlign w:val="baseline"/>
                <w:rtl w:val="0"/>
              </w:rPr>
              <w:t xml:space="preserve">Nordicom Review </w:t>
            </w:r>
            <w:r w:rsidDel="00000000" w:rsidR="00000000" w:rsidRPr="00000000">
              <w:rPr>
                <w:rFonts w:ascii="Times New Roman" w:cs="Times New Roman" w:eastAsia="Times New Roman" w:hAnsi="Times New Roman"/>
                <w:sz w:val="20"/>
                <w:szCs w:val="20"/>
                <w:vertAlign w:val="baseline"/>
                <w:rtl w:val="0"/>
              </w:rPr>
              <w:t xml:space="preserve">35: 171-186; Couldry, N. (2004). Teaching Us to Fake It: The Ritualized Norms of Television’s “Reality” Games. In: Murray, Susan and Ouellette, Laurie (eds.). </w:t>
            </w:r>
            <w:r w:rsidDel="00000000" w:rsidR="00000000" w:rsidRPr="00000000">
              <w:rPr>
                <w:rFonts w:ascii="Times New Roman" w:cs="Times New Roman" w:eastAsia="Times New Roman" w:hAnsi="Times New Roman"/>
                <w:i w:val="1"/>
                <w:sz w:val="20"/>
                <w:szCs w:val="20"/>
                <w:vertAlign w:val="baseline"/>
                <w:rtl w:val="0"/>
              </w:rPr>
              <w:t xml:space="preserve">Reality TV: Remaking Television Culture </w:t>
            </w:r>
            <w:r w:rsidDel="00000000" w:rsidR="00000000" w:rsidRPr="00000000">
              <w:rPr>
                <w:rFonts w:ascii="Times New Roman" w:cs="Times New Roman" w:eastAsia="Times New Roman" w:hAnsi="Times New Roman"/>
                <w:sz w:val="20"/>
                <w:szCs w:val="20"/>
                <w:vertAlign w:val="baseline"/>
                <w:rtl w:val="0"/>
              </w:rPr>
              <w:t xml:space="preserve">(pp. 57-74). New York: New York University Press; Entman, Robert M. (2004). </w:t>
            </w:r>
            <w:r w:rsidDel="00000000" w:rsidR="00000000" w:rsidRPr="00000000">
              <w:rPr>
                <w:rFonts w:ascii="Times New Roman" w:cs="Times New Roman" w:eastAsia="Times New Roman" w:hAnsi="Times New Roman"/>
                <w:i w:val="1"/>
                <w:sz w:val="20"/>
                <w:szCs w:val="20"/>
                <w:vertAlign w:val="baseline"/>
                <w:rtl w:val="0"/>
              </w:rPr>
              <w:t xml:space="preserve">Projections of Power: Framing News, Public Opinion, and U.S. Foreign Policy</w:t>
            </w:r>
            <w:r w:rsidDel="00000000" w:rsidR="00000000" w:rsidRPr="00000000">
              <w:rPr>
                <w:rFonts w:ascii="Times New Roman" w:cs="Times New Roman" w:eastAsia="Times New Roman" w:hAnsi="Times New Roman"/>
                <w:sz w:val="20"/>
                <w:szCs w:val="20"/>
                <w:vertAlign w:val="baseline"/>
                <w:rtl w:val="0"/>
              </w:rPr>
              <w:t xml:space="preserve">. Chicago: University of Chicago Press; Esser, Frank. (1999). “‘Tabloidization’ of News: A Comparative Analysis of Anglo-American and German Press Journalism.” </w:t>
            </w:r>
            <w:r w:rsidDel="00000000" w:rsidR="00000000" w:rsidRPr="00000000">
              <w:rPr>
                <w:rFonts w:ascii="Times New Roman" w:cs="Times New Roman" w:eastAsia="Times New Roman" w:hAnsi="Times New Roman"/>
                <w:i w:val="1"/>
                <w:sz w:val="20"/>
                <w:szCs w:val="20"/>
                <w:vertAlign w:val="baseline"/>
                <w:rtl w:val="0"/>
              </w:rPr>
              <w:t xml:space="preserve">European Journal of Communication, </w:t>
            </w:r>
            <w:r w:rsidDel="00000000" w:rsidR="00000000" w:rsidRPr="00000000">
              <w:rPr>
                <w:rFonts w:ascii="Times New Roman" w:cs="Times New Roman" w:eastAsia="Times New Roman" w:hAnsi="Times New Roman"/>
                <w:sz w:val="20"/>
                <w:szCs w:val="20"/>
                <w:vertAlign w:val="baseline"/>
                <w:rtl w:val="0"/>
              </w:rPr>
              <w:t xml:space="preserve">14 (3): 291–324; Flegel, Ruth and Chaffee, Steven (1971). “Influences of editors, readers, and personal influences on reporters”. </w:t>
            </w:r>
            <w:r w:rsidDel="00000000" w:rsidR="00000000" w:rsidRPr="00000000">
              <w:rPr>
                <w:rFonts w:ascii="Times New Roman" w:cs="Times New Roman" w:eastAsia="Times New Roman" w:hAnsi="Times New Roman"/>
                <w:i w:val="1"/>
                <w:sz w:val="20"/>
                <w:szCs w:val="20"/>
                <w:vertAlign w:val="baseline"/>
                <w:rtl w:val="0"/>
              </w:rPr>
              <w:t xml:space="preserve">Journalism Quarterly, 48</w:t>
            </w:r>
            <w:r w:rsidDel="00000000" w:rsidR="00000000" w:rsidRPr="00000000">
              <w:rPr>
                <w:rFonts w:ascii="Times New Roman" w:cs="Times New Roman" w:eastAsia="Times New Roman" w:hAnsi="Times New Roman"/>
                <w:sz w:val="20"/>
                <w:szCs w:val="20"/>
                <w:vertAlign w:val="baseline"/>
                <w:rtl w:val="0"/>
              </w:rPr>
              <w:t xml:space="preserve">: 645-651; Morrison, David E. and Tumber, Howard. 1988. </w:t>
            </w:r>
            <w:r w:rsidDel="00000000" w:rsidR="00000000" w:rsidRPr="00000000">
              <w:rPr>
                <w:rFonts w:ascii="Times New Roman" w:cs="Times New Roman" w:eastAsia="Times New Roman" w:hAnsi="Times New Roman"/>
                <w:i w:val="1"/>
                <w:sz w:val="20"/>
                <w:szCs w:val="20"/>
                <w:vertAlign w:val="baseline"/>
                <w:rtl w:val="0"/>
              </w:rPr>
              <w:t xml:space="preserve">Journalists at war. The dynamics of news reporting during the Falklands conflict</w:t>
            </w:r>
            <w:r w:rsidDel="00000000" w:rsidR="00000000" w:rsidRPr="00000000">
              <w:rPr>
                <w:rFonts w:ascii="Times New Roman" w:cs="Times New Roman" w:eastAsia="Times New Roman" w:hAnsi="Times New Roman"/>
                <w:sz w:val="20"/>
                <w:szCs w:val="20"/>
                <w:vertAlign w:val="baseline"/>
                <w:rtl w:val="0"/>
              </w:rPr>
              <w:t xml:space="preserve">. London: SAGE; Robinson, Piers. 2002. </w:t>
            </w:r>
            <w:r w:rsidDel="00000000" w:rsidR="00000000" w:rsidRPr="00000000">
              <w:rPr>
                <w:rFonts w:ascii="Times New Roman" w:cs="Times New Roman" w:eastAsia="Times New Roman" w:hAnsi="Times New Roman"/>
                <w:i w:val="1"/>
                <w:sz w:val="20"/>
                <w:szCs w:val="20"/>
                <w:vertAlign w:val="baseline"/>
                <w:rtl w:val="0"/>
              </w:rPr>
              <w:t xml:space="preserve">The CNN Effect: The Myth of News, Foreign Policy and Intervention</w:t>
            </w:r>
            <w:r w:rsidDel="00000000" w:rsidR="00000000" w:rsidRPr="00000000">
              <w:rPr>
                <w:rFonts w:ascii="Times New Roman" w:cs="Times New Roman" w:eastAsia="Times New Roman" w:hAnsi="Times New Roman"/>
                <w:sz w:val="20"/>
                <w:szCs w:val="20"/>
                <w:vertAlign w:val="baseline"/>
                <w:rtl w:val="0"/>
              </w:rPr>
              <w:t xml:space="preserve">. London: Routledge; Shoemaker, Pamela and Reese, Stephen D. 2013. </w:t>
            </w:r>
            <w:r w:rsidDel="00000000" w:rsidR="00000000" w:rsidRPr="00000000">
              <w:rPr>
                <w:rFonts w:ascii="Times New Roman" w:cs="Times New Roman" w:eastAsia="Times New Roman" w:hAnsi="Times New Roman"/>
                <w:i w:val="1"/>
                <w:sz w:val="20"/>
                <w:szCs w:val="20"/>
                <w:vertAlign w:val="baseline"/>
                <w:rtl w:val="0"/>
              </w:rPr>
              <w:t xml:space="preserve">Mediating the Message in the 21st Century: A Media Sociology Perspective</w:t>
            </w:r>
            <w:r w:rsidDel="00000000" w:rsidR="00000000" w:rsidRPr="00000000">
              <w:rPr>
                <w:rFonts w:ascii="Times New Roman" w:cs="Times New Roman" w:eastAsia="Times New Roman" w:hAnsi="Times New Roman"/>
                <w:sz w:val="20"/>
                <w:szCs w:val="20"/>
                <w:vertAlign w:val="baseline"/>
                <w:rtl w:val="0"/>
              </w:rPr>
              <w:t xml:space="preserve">. New York: Routledge; Vladisavljević, Nebojša. 2017. “Medijsko predstavljanje političkih sukoba”. </w:t>
            </w:r>
            <w:r w:rsidDel="00000000" w:rsidR="00000000" w:rsidRPr="00000000">
              <w:rPr>
                <w:rFonts w:ascii="Times New Roman" w:cs="Times New Roman" w:eastAsia="Times New Roman" w:hAnsi="Times New Roman"/>
                <w:i w:val="1"/>
                <w:sz w:val="20"/>
                <w:szCs w:val="20"/>
                <w:vertAlign w:val="baseline"/>
                <w:rtl w:val="0"/>
              </w:rPr>
              <w:t xml:space="preserve">Communication and Media CM</w:t>
            </w:r>
            <w:r w:rsidDel="00000000" w:rsidR="00000000" w:rsidRPr="00000000">
              <w:rPr>
                <w:rFonts w:ascii="Times New Roman" w:cs="Times New Roman" w:eastAsia="Times New Roman" w:hAnsi="Times New Roman"/>
                <w:sz w:val="20"/>
                <w:szCs w:val="20"/>
                <w:vertAlign w:val="baseline"/>
                <w:rtl w:val="0"/>
              </w:rPr>
              <w:t xml:space="preserve">, 12(39): 5–38; Voltmer, Katrin. 2013. </w:t>
            </w:r>
            <w:r w:rsidDel="00000000" w:rsidR="00000000" w:rsidRPr="00000000">
              <w:rPr>
                <w:rFonts w:ascii="Times New Roman" w:cs="Times New Roman" w:eastAsia="Times New Roman" w:hAnsi="Times New Roman"/>
                <w:i w:val="1"/>
                <w:sz w:val="20"/>
                <w:szCs w:val="20"/>
                <w:vertAlign w:val="baseline"/>
                <w:rtl w:val="0"/>
              </w:rPr>
              <w:t xml:space="preserve">The Media in Transitional Democracies</w:t>
            </w:r>
            <w:r w:rsidDel="00000000" w:rsidR="00000000" w:rsidRPr="00000000">
              <w:rPr>
                <w:rFonts w:ascii="Times New Roman" w:cs="Times New Roman" w:eastAsia="Times New Roman" w:hAnsi="Times New Roman"/>
                <w:sz w:val="20"/>
                <w:szCs w:val="20"/>
                <w:vertAlign w:val="baseline"/>
                <w:rtl w:val="0"/>
              </w:rPr>
              <w:t xml:space="preserve">. Kindle ed. Cambridge; Hansen, A. (2011). Communication, media and environment: Towards reconnecting research on the production, content and social implications of environmental  communication. </w:t>
            </w:r>
            <w:r w:rsidDel="00000000" w:rsidR="00000000" w:rsidRPr="00000000">
              <w:rPr>
                <w:rFonts w:ascii="Times New Roman" w:cs="Times New Roman" w:eastAsia="Times New Roman" w:hAnsi="Times New Roman"/>
                <w:i w:val="1"/>
                <w:sz w:val="20"/>
                <w:szCs w:val="20"/>
                <w:vertAlign w:val="baseline"/>
                <w:rtl w:val="0"/>
              </w:rPr>
              <w:t xml:space="preserve">International Communication Gazette </w:t>
            </w:r>
            <w:r w:rsidDel="00000000" w:rsidR="00000000" w:rsidRPr="00000000">
              <w:rPr>
                <w:rFonts w:ascii="Times New Roman" w:cs="Times New Roman" w:eastAsia="Times New Roman" w:hAnsi="Times New Roman"/>
                <w:sz w:val="20"/>
                <w:szCs w:val="20"/>
                <w:vertAlign w:val="baseline"/>
                <w:rtl w:val="0"/>
              </w:rPr>
              <w:t xml:space="preserve">73: 7–25.</w:t>
            </w:r>
          </w:p>
        </w:tc>
      </w:tr>
      <w:tr>
        <w:trPr>
          <w:trHeight w:val="227" w:hRule="atLeast"/>
        </w:trPr>
        <w:tc>
          <w:tcPr>
            <w:vAlign w:val="center"/>
          </w:tcPr>
          <w:p w:rsidR="00000000" w:rsidDel="00000000" w:rsidP="00000000" w:rsidRDefault="00000000" w:rsidRPr="00000000" w14:paraId="0000003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Настава на предмету Специјализовано медијско извештавање представља комбинацију теоријских предавања уз практична анализу најактуелнијих примера, у различитим форматима. Meђу предавачима су и гости – професионални новинари, експерти у својим областима, бирани према актуелности тема које су предмет анализе.  </w:t>
            </w:r>
          </w:p>
        </w:tc>
      </w:tr>
      <w:tr>
        <w:trPr>
          <w:trHeight w:val="227" w:hRule="atLeast"/>
        </w:trPr>
        <w:tc>
          <w:tcPr>
            <w:gridSpan w:val="5"/>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b w:val="0"/>
                <w:sz w:val="20"/>
                <w:szCs w:val="20"/>
                <w:highlight w:val="white"/>
                <w:vertAlign w:val="baseline"/>
              </w:rPr>
            </w:pPr>
            <w:r w:rsidDel="00000000" w:rsidR="00000000" w:rsidRPr="00000000">
              <w:rPr>
                <w:rFonts w:ascii="Times New Roman" w:cs="Times New Roman" w:eastAsia="Times New Roman" w:hAnsi="Times New Roman"/>
                <w:b w:val="1"/>
                <w:sz w:val="20"/>
                <w:szCs w:val="20"/>
                <w:highlight w:val="white"/>
                <w:rtl w:val="0"/>
              </w:rPr>
              <w:t xml:space="preserve">40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b w:val="0"/>
                <w:sz w:val="20"/>
                <w:szCs w:val="20"/>
                <w:highlight w:val="white"/>
                <w:vertAlign w:val="baseline"/>
              </w:rPr>
            </w:pPr>
            <w:r w:rsidDel="00000000" w:rsidR="00000000" w:rsidRPr="00000000">
              <w:rPr>
                <w:rFonts w:ascii="Times New Roman" w:cs="Times New Roman" w:eastAsia="Times New Roman" w:hAnsi="Times New Roman"/>
                <w:b w:val="1"/>
                <w:sz w:val="20"/>
                <w:szCs w:val="20"/>
                <w:highlight w:val="whit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7">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libri" w:cs="Calibri" w:eastAsia="Calibri" w:hAnsi="Calibri"/>
      <w:b w:val="1"/>
      <w:sz w:val="32"/>
      <w:szCs w:val="32"/>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paragraph" w:styleId="Heading1">
    <w:name w:val="Heading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libri Light" w:cs="Times New Roman" w:eastAsia="Times New Roman" w:hAnsi="Calibri Light"/>
      <w:b w:val="1"/>
      <w:bCs w:val="1"/>
      <w:w w:val="100"/>
      <w:kern w:val="32"/>
      <w:position w:val="-1"/>
      <w:sz w:val="32"/>
      <w:szCs w:val="32"/>
      <w:effect w:val="none"/>
      <w:vertAlign w:val="baseline"/>
      <w:cs w:val="0"/>
      <w:em w:val="none"/>
      <w:lang w:bidi="ar-SA" w:eastAsia="en-US" w:val="und"/>
    </w:rPr>
  </w:style>
  <w:style w:type="paragraph" w:styleId="Heading4">
    <w:name w:val="Heading 4"/>
    <w:basedOn w:val="Normal"/>
    <w:next w:val="Normal"/>
    <w:autoRedefine w:val="0"/>
    <w:hidden w:val="0"/>
    <w:qFormat w:val="1"/>
    <w:pPr>
      <w:keepNext w:val="1"/>
      <w:suppressAutoHyphens w:val="1"/>
      <w:spacing w:after="60" w:before="240" w:line="1" w:lineRule="atLeast"/>
      <w:ind w:leftChars="-1" w:rightChars="0" w:firstLineChars="-1"/>
      <w:textDirection w:val="btLr"/>
      <w:textAlignment w:val="top"/>
      <w:outlineLvl w:val="3"/>
    </w:pPr>
    <w:rPr>
      <w:rFonts w:ascii="Calibri" w:cs="Times New Roman" w:eastAsia="Times New Roman" w:hAnsi="Calibri"/>
      <w:b w:val="1"/>
      <w:bCs w:val="1"/>
      <w:w w:val="100"/>
      <w:position w:val="-1"/>
      <w:sz w:val="28"/>
      <w:szCs w:val="28"/>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Calibri Light" w:cs="Times New Roman" w:eastAsia="Times New Roman" w:hAnsi="Calibri Light"/>
      <w:b w:val="1"/>
      <w:bCs w:val="1"/>
      <w:w w:val="100"/>
      <w:kern w:val="32"/>
      <w:position w:val="-1"/>
      <w:sz w:val="32"/>
      <w:szCs w:val="32"/>
      <w:effect w:val="none"/>
      <w:vertAlign w:val="baseline"/>
      <w:cs w:val="0"/>
      <w:em w:val="none"/>
      <w:lang w:val="und"/>
    </w:rPr>
  </w:style>
  <w:style w:type="character" w:styleId="Heading4Char">
    <w:name w:val="Heading 4 Char"/>
    <w:next w:val="Heading4Char"/>
    <w:autoRedefine w:val="0"/>
    <w:hidden w:val="0"/>
    <w:qFormat w:val="0"/>
    <w:rPr>
      <w:rFonts w:ascii="Calibri" w:cs="Times New Roman" w:eastAsia="Times New Roman" w:hAnsi="Calibri"/>
      <w:b w:val="1"/>
      <w:bCs w:val="1"/>
      <w:w w:val="100"/>
      <w:position w:val="-1"/>
      <w:sz w:val="28"/>
      <w:szCs w:val="28"/>
      <w:effect w:val="none"/>
      <w:vertAlign w:val="baseline"/>
      <w:cs w:val="0"/>
      <w:em w:val="none"/>
      <w:lang w:val="und"/>
    </w:rPr>
  </w:style>
  <w:style w:type="character" w:styleId="popovergroup">
    <w:name w:val="popovergroup"/>
    <w:basedOn w:val="DefaultParagraphFont"/>
    <w:next w:val="popovergroup"/>
    <w:autoRedefine w:val="0"/>
    <w:hidden w:val="0"/>
    <w:qFormat w:val="0"/>
    <w:rPr>
      <w:w w:val="100"/>
      <w:position w:val="-1"/>
      <w:effect w:val="none"/>
      <w:vertAlign w:val="baseline"/>
      <w:cs w:val="0"/>
      <w:em w:val="none"/>
      <w:lang/>
    </w:rPr>
  </w:style>
  <w:style w:type="character" w:styleId="popoverbutton">
    <w:name w:val="popoverbutton"/>
    <w:basedOn w:val="DefaultParagraphFont"/>
    <w:next w:val="popoverbutton"/>
    <w:autoRedefine w:val="0"/>
    <w:hidden w:val="0"/>
    <w:qFormat w:val="0"/>
    <w:rPr>
      <w:w w:val="100"/>
      <w:position w:val="-1"/>
      <w:effect w:val="none"/>
      <w:vertAlign w:val="baseline"/>
      <w:cs w:val="0"/>
      <w:em w:val="none"/>
      <w:lang/>
    </w:rPr>
  </w:style>
  <w:style w:type="character" w:styleId="hlfld-contribauthor">
    <w:name w:val="hlfld-contribauthor"/>
    <w:basedOn w:val="DefaultParagraphFont"/>
    <w:next w:val="hlfld-contribauthor"/>
    <w:autoRedefine w:val="0"/>
    <w:hidden w:val="0"/>
    <w:qFormat w:val="0"/>
    <w:rPr>
      <w:w w:val="100"/>
      <w:position w:val="-1"/>
      <w:effect w:val="none"/>
      <w:vertAlign w:val="baseline"/>
      <w:cs w:val="0"/>
      <w:em w:val="none"/>
      <w:lang/>
    </w:rPr>
  </w:style>
  <w:style w:type="character" w:styleId="nlm_given-names">
    <w:name w:val="nlm_given-names"/>
    <w:basedOn w:val="DefaultParagraphFont"/>
    <w:next w:val="nlm_given-names"/>
    <w:autoRedefine w:val="0"/>
    <w:hidden w:val="0"/>
    <w:qFormat w:val="0"/>
    <w:rPr>
      <w:w w:val="100"/>
      <w:position w:val="-1"/>
      <w:effect w:val="none"/>
      <w:vertAlign w:val="baseline"/>
      <w:cs w:val="0"/>
      <w:em w:val="none"/>
      <w:lang/>
    </w:rPr>
  </w:style>
  <w:style w:type="character" w:styleId="nlm_year">
    <w:name w:val="nlm_year"/>
    <w:basedOn w:val="DefaultParagraphFont"/>
    <w:next w:val="nlm_year"/>
    <w:autoRedefine w:val="0"/>
    <w:hidden w:val="0"/>
    <w:qFormat w:val="0"/>
    <w:rPr>
      <w:w w:val="100"/>
      <w:position w:val="-1"/>
      <w:effect w:val="none"/>
      <w:vertAlign w:val="baseline"/>
      <w:cs w:val="0"/>
      <w:em w:val="none"/>
      <w:lang/>
    </w:rPr>
  </w:style>
  <w:style w:type="character" w:styleId="nlm_article-title">
    <w:name w:val="nlm_article-title"/>
    <w:basedOn w:val="DefaultParagraphFont"/>
    <w:next w:val="nlm_article-title"/>
    <w:autoRedefine w:val="0"/>
    <w:hidden w:val="0"/>
    <w:qFormat w:val="0"/>
    <w:rPr>
      <w:w w:val="100"/>
      <w:position w:val="-1"/>
      <w:effect w:val="none"/>
      <w:vertAlign w:val="baseline"/>
      <w:cs w:val="0"/>
      <w:em w:val="none"/>
      <w:lang/>
    </w:rPr>
  </w:style>
  <w:style w:type="character" w:styleId="nlm_fpage">
    <w:name w:val="nlm_fpage"/>
    <w:basedOn w:val="DefaultParagraphFont"/>
    <w:next w:val="nlm_fpage"/>
    <w:autoRedefine w:val="0"/>
    <w:hidden w:val="0"/>
    <w:qFormat w:val="0"/>
    <w:rPr>
      <w:w w:val="100"/>
      <w:position w:val="-1"/>
      <w:effect w:val="none"/>
      <w:vertAlign w:val="baseline"/>
      <w:cs w:val="0"/>
      <w:em w:val="none"/>
      <w:lang/>
    </w:rPr>
  </w:style>
  <w:style w:type="character" w:styleId="nlm_lpage">
    <w:name w:val="nlm_lpage"/>
    <w:basedOn w:val="DefaultParagraphFont"/>
    <w:next w:val="nlm_lpage"/>
    <w:autoRedefine w:val="0"/>
    <w:hidden w:val="0"/>
    <w:qFormat w:val="0"/>
    <w:rPr>
      <w:w w:val="100"/>
      <w:position w:val="-1"/>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apple-converted-space">
    <w:name w:val="apple-converted-space"/>
    <w:basedOn w:val="DefaultParagraphFont"/>
    <w:next w:val="apple-converted-space"/>
    <w:autoRedefine w:val="0"/>
    <w:hidden w:val="0"/>
    <w:qFormat w:val="0"/>
    <w:rPr>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en-GB"/>
    </w:rPr>
  </w:style>
  <w:style w:type="character" w:styleId="A2">
    <w:name w:val="A2"/>
    <w:next w:val="A2"/>
    <w:autoRedefine w:val="0"/>
    <w:hidden w:val="0"/>
    <w:qFormat w:val="0"/>
    <w:rPr>
      <w:color w:val="000000"/>
      <w:w w:val="100"/>
      <w:position w:val="-1"/>
      <w:sz w:val="18"/>
      <w:szCs w:val="18"/>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HSvuidaPX/4hv0GUE7/twyduw==">AMUW2mXiQO5L7QaVUYHiGUzENQQz8782yuEOuAV+LVvdjiUZ0Hf4h8zBItyIqUYutyckKjL83+DRbsiSB9pH/5dCvn++U9UIjLy81rELO86rsMXyTt3cc6c=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2021-05-21T08:59:00Z</dcterms:created>
  <dc:creator>ivana.sunderic</dc:creator>
</cp:coreProperties>
</file>